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800" w:type="dxa"/>
        <w:jc w:val="center"/>
        <w:tblCellMar>
          <w:left w:w="0" w:type="dxa"/>
          <w:right w:w="0" w:type="dxa"/>
        </w:tblCellMar>
        <w:tblLook w:val="04A0" w:firstRow="1" w:lastRow="0" w:firstColumn="1" w:lastColumn="0" w:noHBand="0" w:noVBand="1"/>
      </w:tblPr>
      <w:tblGrid>
        <w:gridCol w:w="10800"/>
      </w:tblGrid>
      <w:tr w:rsidR="007A4AE0" w:rsidRPr="007A4AE0" w:rsidTr="007A4AE0">
        <w:trPr>
          <w:jc w:val="center"/>
        </w:trPr>
        <w:tc>
          <w:tcPr>
            <w:tcW w:w="0" w:type="auto"/>
            <w:shd w:val="clear" w:color="auto" w:fill="FFFFFF"/>
            <w:tcMar>
              <w:top w:w="15" w:type="dxa"/>
              <w:left w:w="15" w:type="dxa"/>
              <w:bottom w:w="15" w:type="dxa"/>
              <w:right w:w="15" w:type="dxa"/>
            </w:tcMar>
            <w:vAlign w:val="center"/>
          </w:tcPr>
          <w:tbl>
            <w:tblPr>
              <w:tblW w:w="4750" w:type="pct"/>
              <w:jc w:val="center"/>
              <w:tblCellMar>
                <w:left w:w="0" w:type="dxa"/>
                <w:right w:w="0" w:type="dxa"/>
              </w:tblCellMar>
              <w:tblLook w:val="04A0" w:firstRow="1" w:lastRow="0" w:firstColumn="1" w:lastColumn="0" w:noHBand="0" w:noVBand="1"/>
            </w:tblPr>
            <w:tblGrid>
              <w:gridCol w:w="10232"/>
            </w:tblGrid>
            <w:tr w:rsidR="007A4AE0" w:rsidRPr="007A4AE0">
              <w:trPr>
                <w:jc w:val="center"/>
              </w:trPr>
              <w:tc>
                <w:tcPr>
                  <w:tcW w:w="0" w:type="auto"/>
                  <w:shd w:val="clear" w:color="auto" w:fill="FFFFFF"/>
                  <w:tcMar>
                    <w:top w:w="15" w:type="dxa"/>
                    <w:left w:w="15" w:type="dxa"/>
                    <w:bottom w:w="15" w:type="dxa"/>
                    <w:right w:w="15" w:type="dxa"/>
                  </w:tcMar>
                  <w:vAlign w:val="center"/>
                  <w:hideMark/>
                </w:tcPr>
                <w:p w:rsidR="007A4AE0" w:rsidRPr="007A4AE0" w:rsidRDefault="007A4AE0">
                  <w:pPr>
                    <w:rPr>
                      <w:sz w:val="22"/>
                      <w:szCs w:val="22"/>
                    </w:rPr>
                  </w:pPr>
                  <w:r w:rsidRPr="007A4AE0">
                    <w:rPr>
                      <w:sz w:val="22"/>
                      <w:szCs w:val="22"/>
                    </w:rPr>
                    <w:t xml:space="preserve">  </w:t>
                  </w:r>
                </w:p>
              </w:tc>
            </w:tr>
          </w:tbl>
          <w:p w:rsidR="007A4AE0" w:rsidRPr="007A4AE0" w:rsidRDefault="007A4AE0">
            <w:pPr>
              <w:rPr>
                <w:vanish/>
                <w:color w:val="8E8E90"/>
                <w:sz w:val="22"/>
                <w:szCs w:val="22"/>
              </w:rPr>
            </w:pPr>
          </w:p>
          <w:tbl>
            <w:tblPr>
              <w:tblW w:w="4750" w:type="pct"/>
              <w:jc w:val="center"/>
              <w:tblCellMar>
                <w:left w:w="0" w:type="dxa"/>
                <w:right w:w="0" w:type="dxa"/>
              </w:tblCellMar>
              <w:tblLook w:val="04A0" w:firstRow="1" w:lastRow="0" w:firstColumn="1" w:lastColumn="0" w:noHBand="0" w:noVBand="1"/>
            </w:tblPr>
            <w:tblGrid>
              <w:gridCol w:w="2046"/>
              <w:gridCol w:w="8186"/>
            </w:tblGrid>
            <w:tr w:rsidR="007A4AE0" w:rsidRPr="007A4AE0">
              <w:trPr>
                <w:jc w:val="center"/>
              </w:trPr>
              <w:tc>
                <w:tcPr>
                  <w:tcW w:w="1000" w:type="pct"/>
                  <w:shd w:val="clear" w:color="auto" w:fill="FFFFFF"/>
                  <w:tcMar>
                    <w:top w:w="15" w:type="dxa"/>
                    <w:left w:w="15" w:type="dxa"/>
                    <w:bottom w:w="15" w:type="dxa"/>
                    <w:right w:w="15" w:type="dxa"/>
                  </w:tcMar>
                  <w:vAlign w:val="center"/>
                  <w:hideMark/>
                </w:tcPr>
                <w:p w:rsidR="007A4AE0" w:rsidRPr="007A4AE0" w:rsidRDefault="007A4AE0">
                  <w:pPr>
                    <w:rPr>
                      <w:color w:val="8E8E90"/>
                      <w:sz w:val="22"/>
                      <w:szCs w:val="22"/>
                    </w:rPr>
                  </w:pPr>
                  <w:r w:rsidRPr="007A4AE0">
                    <w:rPr>
                      <w:noProof/>
                      <w:color w:val="0000FF"/>
                      <w:sz w:val="22"/>
                      <w:szCs w:val="22"/>
                    </w:rPr>
                    <w:drawing>
                      <wp:inline distT="0" distB="0" distL="0" distR="0" wp14:anchorId="1CA1DE04" wp14:editId="08CF03DE">
                        <wp:extent cx="1095375" cy="723900"/>
                        <wp:effectExtent l="0" t="0" r="0" b="0"/>
                        <wp:docPr id="1" name="Bild 31" descr="Logo BDA">
                          <a:hlinkClick xmlns:a="http://schemas.openxmlformats.org/drawingml/2006/main" r:id="rId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ogo BDA"/>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1095375" cy="723900"/>
                                </a:xfrm>
                                <a:prstGeom prst="rect">
                                  <a:avLst/>
                                </a:prstGeom>
                                <a:noFill/>
                                <a:ln>
                                  <a:noFill/>
                                </a:ln>
                              </pic:spPr>
                            </pic:pic>
                          </a:graphicData>
                        </a:graphic>
                      </wp:inline>
                    </w:drawing>
                  </w:r>
                </w:p>
              </w:tc>
              <w:tc>
                <w:tcPr>
                  <w:tcW w:w="0" w:type="auto"/>
                  <w:shd w:val="clear" w:color="auto" w:fill="FFFFFF"/>
                  <w:tcMar>
                    <w:top w:w="15" w:type="dxa"/>
                    <w:left w:w="15" w:type="dxa"/>
                    <w:bottom w:w="15" w:type="dxa"/>
                    <w:right w:w="15" w:type="dxa"/>
                  </w:tcMar>
                </w:tcPr>
                <w:p w:rsidR="007A4AE0" w:rsidRPr="007A4AE0" w:rsidRDefault="007A4AE0">
                  <w:pPr>
                    <w:pStyle w:val="rescue"/>
                    <w:jc w:val="right"/>
                    <w:rPr>
                      <w:rStyle w:val="Hyperlink"/>
                      <w:sz w:val="22"/>
                      <w:szCs w:val="22"/>
                      <w:u w:val="none"/>
                    </w:rPr>
                  </w:pPr>
                  <w:hyperlink r:id="rId8" w:tgtFrame="_blank" w:history="1">
                    <w:r w:rsidRPr="007A4AE0">
                      <w:rPr>
                        <w:rStyle w:val="Hyperlink"/>
                        <w:rFonts w:ascii="Arial" w:hAnsi="Arial" w:cs="Arial"/>
                        <w:b/>
                        <w:bCs/>
                        <w:color w:val="8E8E90"/>
                        <w:sz w:val="22"/>
                        <w:szCs w:val="22"/>
                        <w:u w:val="none"/>
                      </w:rPr>
                      <w:t>WEBANSICHT</w:t>
                    </w:r>
                  </w:hyperlink>
                </w:p>
                <w:p w:rsidR="007A4AE0" w:rsidRPr="007A4AE0" w:rsidRDefault="007A4AE0">
                  <w:pPr>
                    <w:jc w:val="right"/>
                    <w:rPr>
                      <w:sz w:val="22"/>
                      <w:szCs w:val="22"/>
                    </w:rPr>
                  </w:pPr>
                </w:p>
                <w:p w:rsidR="007A4AE0" w:rsidRPr="007A4AE0" w:rsidRDefault="007A4AE0">
                  <w:pPr>
                    <w:jc w:val="right"/>
                    <w:rPr>
                      <w:rFonts w:eastAsia="Times New Roman"/>
                      <w:sz w:val="22"/>
                      <w:szCs w:val="22"/>
                    </w:rPr>
                  </w:pPr>
                  <w:r w:rsidRPr="007A4AE0">
                    <w:rPr>
                      <w:rFonts w:eastAsia="Times New Roman"/>
                      <w:sz w:val="22"/>
                      <w:szCs w:val="22"/>
                    </w:rPr>
                    <w:pict>
                      <v:rect id="_x0000_i1025" style="width:453.6pt;height:1.5pt" o:hralign="right" o:hrstd="t" o:hrnoshade="t" o:hr="t" fillcolor="#fed21b" stroked="f"/>
                    </w:pict>
                  </w:r>
                </w:p>
                <w:p w:rsidR="007A4AE0" w:rsidRPr="007A4AE0" w:rsidRDefault="007A4AE0">
                  <w:pPr>
                    <w:jc w:val="right"/>
                    <w:rPr>
                      <w:sz w:val="22"/>
                      <w:szCs w:val="22"/>
                    </w:rPr>
                  </w:pPr>
                </w:p>
              </w:tc>
            </w:tr>
          </w:tbl>
          <w:p w:rsidR="007A4AE0" w:rsidRPr="007A4AE0" w:rsidRDefault="007A4AE0">
            <w:pPr>
              <w:rPr>
                <w:vanish/>
                <w:color w:val="8E8E90"/>
                <w:sz w:val="22"/>
                <w:szCs w:val="22"/>
              </w:rPr>
            </w:pPr>
          </w:p>
          <w:tbl>
            <w:tblPr>
              <w:tblW w:w="4250" w:type="pct"/>
              <w:jc w:val="center"/>
              <w:tblCellMar>
                <w:left w:w="0" w:type="dxa"/>
                <w:right w:w="0" w:type="dxa"/>
              </w:tblCellMar>
              <w:tblLook w:val="04A0" w:firstRow="1" w:lastRow="0" w:firstColumn="1" w:lastColumn="0" w:noHBand="0" w:noVBand="1"/>
            </w:tblPr>
            <w:tblGrid>
              <w:gridCol w:w="9155"/>
            </w:tblGrid>
            <w:tr w:rsidR="007A4AE0" w:rsidRPr="007A4AE0">
              <w:trPr>
                <w:jc w:val="center"/>
              </w:trPr>
              <w:tc>
                <w:tcPr>
                  <w:tcW w:w="0" w:type="auto"/>
                  <w:shd w:val="clear" w:color="auto" w:fill="FFFFFF"/>
                  <w:tcMar>
                    <w:top w:w="15" w:type="dxa"/>
                    <w:left w:w="15" w:type="dxa"/>
                    <w:bottom w:w="15" w:type="dxa"/>
                    <w:right w:w="15" w:type="dxa"/>
                  </w:tcMar>
                  <w:vAlign w:val="center"/>
                  <w:hideMark/>
                </w:tcPr>
                <w:p w:rsidR="007A4AE0" w:rsidRDefault="007A4AE0" w:rsidP="007A4AE0">
                  <w:pPr>
                    <w:spacing w:line="420" w:lineRule="atLeast"/>
                    <w:rPr>
                      <w:rFonts w:ascii="Arial" w:hAnsi="Arial" w:cs="Arial"/>
                      <w:b/>
                      <w:bCs/>
                      <w:sz w:val="22"/>
                      <w:szCs w:val="22"/>
                    </w:rPr>
                  </w:pPr>
                  <w:r w:rsidRPr="007A4AE0">
                    <w:rPr>
                      <w:rFonts w:ascii="Arial" w:hAnsi="Arial" w:cs="Arial"/>
                      <w:b/>
                      <w:bCs/>
                      <w:sz w:val="22"/>
                      <w:szCs w:val="22"/>
                    </w:rPr>
                    <w:t> </w:t>
                  </w:r>
                </w:p>
                <w:p w:rsidR="007A4AE0" w:rsidRPr="007A4AE0" w:rsidRDefault="007A4AE0" w:rsidP="007A4AE0">
                  <w:pPr>
                    <w:spacing w:line="420" w:lineRule="atLeast"/>
                    <w:rPr>
                      <w:rFonts w:ascii="Arial" w:hAnsi="Arial" w:cs="Arial"/>
                      <w:b/>
                      <w:bCs/>
                      <w:sz w:val="22"/>
                      <w:szCs w:val="22"/>
                    </w:rPr>
                  </w:pPr>
                  <w:r w:rsidRPr="007A4AE0">
                    <w:rPr>
                      <w:rStyle w:val="responsive-headline1"/>
                      <w:rFonts w:ascii="Arial" w:hAnsi="Arial" w:cs="Arial"/>
                      <w:b/>
                      <w:bCs/>
                      <w:sz w:val="22"/>
                      <w:szCs w:val="22"/>
                    </w:rPr>
                    <w:t>Offene Märkte - Weltoffenes Land</w:t>
                  </w:r>
                  <w:r w:rsidRPr="007A4AE0">
                    <w:rPr>
                      <w:rFonts w:ascii="Arial" w:hAnsi="Arial" w:cs="Arial"/>
                      <w:b/>
                      <w:bCs/>
                      <w:sz w:val="22"/>
                      <w:szCs w:val="22"/>
                    </w:rPr>
                    <w:t> </w:t>
                  </w:r>
                </w:p>
              </w:tc>
            </w:tr>
          </w:tbl>
          <w:p w:rsidR="007A4AE0" w:rsidRPr="007A4AE0" w:rsidRDefault="007A4AE0">
            <w:pPr>
              <w:rPr>
                <w:vanish/>
                <w:color w:val="8E8E90"/>
                <w:sz w:val="22"/>
                <w:szCs w:val="22"/>
              </w:rPr>
            </w:pPr>
          </w:p>
          <w:tbl>
            <w:tblPr>
              <w:tblW w:w="4250" w:type="pct"/>
              <w:jc w:val="center"/>
              <w:tblCellMar>
                <w:left w:w="0" w:type="dxa"/>
                <w:right w:w="0" w:type="dxa"/>
              </w:tblCellMar>
              <w:tblLook w:val="04A0" w:firstRow="1" w:lastRow="0" w:firstColumn="1" w:lastColumn="0" w:noHBand="0" w:noVBand="1"/>
            </w:tblPr>
            <w:tblGrid>
              <w:gridCol w:w="9155"/>
            </w:tblGrid>
            <w:tr w:rsidR="007A4AE0" w:rsidRPr="007A4AE0">
              <w:trPr>
                <w:jc w:val="center"/>
              </w:trPr>
              <w:tc>
                <w:tcPr>
                  <w:tcW w:w="0" w:type="auto"/>
                  <w:shd w:val="clear" w:color="auto" w:fill="FFFFFF"/>
                  <w:tcMar>
                    <w:top w:w="15" w:type="dxa"/>
                    <w:left w:w="15" w:type="dxa"/>
                    <w:bottom w:w="15" w:type="dxa"/>
                    <w:right w:w="15" w:type="dxa"/>
                  </w:tcMar>
                  <w:vAlign w:val="center"/>
                  <w:hideMark/>
                </w:tcPr>
                <w:p w:rsidR="007A4AE0" w:rsidRPr="007A4AE0" w:rsidRDefault="007A4AE0">
                  <w:pPr>
                    <w:rPr>
                      <w:rFonts w:eastAsia="Times New Roman"/>
                      <w:color w:val="auto"/>
                      <w:sz w:val="22"/>
                      <w:szCs w:val="22"/>
                    </w:rPr>
                  </w:pPr>
                </w:p>
              </w:tc>
            </w:tr>
          </w:tbl>
          <w:p w:rsidR="007A4AE0" w:rsidRPr="007A4AE0" w:rsidRDefault="007A4AE0">
            <w:pPr>
              <w:rPr>
                <w:vanish/>
                <w:color w:val="8E8E90"/>
                <w:sz w:val="22"/>
                <w:szCs w:val="22"/>
              </w:rPr>
            </w:pPr>
          </w:p>
          <w:tbl>
            <w:tblPr>
              <w:tblW w:w="4250" w:type="pct"/>
              <w:jc w:val="center"/>
              <w:tblCellMar>
                <w:left w:w="0" w:type="dxa"/>
                <w:right w:w="0" w:type="dxa"/>
              </w:tblCellMar>
              <w:tblLook w:val="04A0" w:firstRow="1" w:lastRow="0" w:firstColumn="1" w:lastColumn="0" w:noHBand="0" w:noVBand="1"/>
            </w:tblPr>
            <w:tblGrid>
              <w:gridCol w:w="9155"/>
            </w:tblGrid>
            <w:tr w:rsidR="007A4AE0" w:rsidRPr="007A4AE0">
              <w:trPr>
                <w:jc w:val="center"/>
              </w:trPr>
              <w:tc>
                <w:tcPr>
                  <w:tcW w:w="0" w:type="auto"/>
                  <w:shd w:val="clear" w:color="auto" w:fill="FFFFFF"/>
                  <w:tcMar>
                    <w:top w:w="15" w:type="dxa"/>
                    <w:left w:w="15" w:type="dxa"/>
                    <w:bottom w:w="15" w:type="dxa"/>
                    <w:right w:w="15" w:type="dxa"/>
                  </w:tcMar>
                  <w:vAlign w:val="center"/>
                  <w:hideMark/>
                </w:tcPr>
                <w:p w:rsidR="007A4AE0" w:rsidRPr="007A4AE0" w:rsidRDefault="007A4AE0">
                  <w:pPr>
                    <w:rPr>
                      <w:sz w:val="22"/>
                      <w:szCs w:val="22"/>
                    </w:rPr>
                  </w:pPr>
                  <w:r w:rsidRPr="007A4AE0">
                    <w:rPr>
                      <w:sz w:val="22"/>
                      <w:szCs w:val="22"/>
                    </w:rPr>
                    <w:t xml:space="preserve">  </w:t>
                  </w:r>
                </w:p>
              </w:tc>
            </w:tr>
          </w:tbl>
          <w:p w:rsidR="007A4AE0" w:rsidRPr="007A4AE0" w:rsidRDefault="007A4AE0">
            <w:pPr>
              <w:rPr>
                <w:vanish/>
                <w:color w:val="8E8E90"/>
                <w:sz w:val="22"/>
                <w:szCs w:val="22"/>
              </w:rPr>
            </w:pPr>
          </w:p>
          <w:tbl>
            <w:tblPr>
              <w:tblW w:w="4250" w:type="pct"/>
              <w:jc w:val="center"/>
              <w:tblCellMar>
                <w:left w:w="0" w:type="dxa"/>
                <w:right w:w="0" w:type="dxa"/>
              </w:tblCellMar>
              <w:tblLook w:val="04A0" w:firstRow="1" w:lastRow="0" w:firstColumn="1" w:lastColumn="0" w:noHBand="0" w:noVBand="1"/>
            </w:tblPr>
            <w:tblGrid>
              <w:gridCol w:w="9155"/>
            </w:tblGrid>
            <w:tr w:rsidR="007A4AE0" w:rsidRPr="007A4AE0">
              <w:trPr>
                <w:jc w:val="center"/>
              </w:trPr>
              <w:tc>
                <w:tcPr>
                  <w:tcW w:w="0" w:type="auto"/>
                  <w:tcMar>
                    <w:top w:w="15" w:type="dxa"/>
                    <w:left w:w="15" w:type="dxa"/>
                    <w:bottom w:w="15" w:type="dxa"/>
                    <w:right w:w="15" w:type="dxa"/>
                  </w:tcMar>
                  <w:vAlign w:val="center"/>
                  <w:hideMark/>
                </w:tcPr>
                <w:p w:rsidR="007A4AE0" w:rsidRPr="007A4AE0" w:rsidRDefault="007A4AE0">
                  <w:pPr>
                    <w:pStyle w:val="responsive-text"/>
                    <w:rPr>
                      <w:rFonts w:ascii="Arial" w:hAnsi="Arial" w:cs="Arial"/>
                      <w:sz w:val="22"/>
                      <w:szCs w:val="22"/>
                    </w:rPr>
                  </w:pPr>
                  <w:r w:rsidRPr="007A4AE0">
                    <w:rPr>
                      <w:rFonts w:ascii="Arial" w:hAnsi="Arial" w:cs="Arial"/>
                      <w:b/>
                      <w:bCs/>
                      <w:sz w:val="22"/>
                      <w:szCs w:val="22"/>
                    </w:rPr>
                    <w:t>15. März 2019.</w:t>
                  </w:r>
                  <w:r w:rsidRPr="007A4AE0">
                    <w:rPr>
                      <w:rFonts w:ascii="Arial" w:hAnsi="Arial" w:cs="Arial"/>
                      <w:sz w:val="22"/>
                      <w:szCs w:val="22"/>
                    </w:rPr>
                    <w:t xml:space="preserve"> Die </w:t>
                  </w:r>
                  <w:proofErr w:type="spellStart"/>
                  <w:r w:rsidRPr="007A4AE0">
                    <w:rPr>
                      <w:rFonts w:ascii="Arial" w:hAnsi="Arial" w:cs="Arial"/>
                      <w:sz w:val="22"/>
                      <w:szCs w:val="22"/>
                    </w:rPr>
                    <w:t>Deutsche</w:t>
                  </w:r>
                  <w:proofErr w:type="spellEnd"/>
                  <w:r w:rsidRPr="007A4AE0">
                    <w:rPr>
                      <w:rFonts w:ascii="Arial" w:hAnsi="Arial" w:cs="Arial"/>
                      <w:sz w:val="22"/>
                      <w:szCs w:val="22"/>
                    </w:rPr>
                    <w:t xml:space="preserve"> Wirtschaft bekennt sich zu einem weltoffenen Deutschland. Wir unterstützen die intensiven Anstrengungen der Bundesregierung und persönlich der Bundeskanzlerin für einen internationalen Ausgleich auf allen Ebenen. Offene Märkte, internationale Arbeitsteilung, der europäische Binnenmarkt und ein regelbasierter internationaler Wirtschaftsverkehr tragen maßgeblich zur Stabilität unseres Landes bei. Die Wirtschaft weiß um ihre Verantwortung, Deutschland auch künftig einen Spitzenplatz unter den stärksten Exportnationen dieser Welt zu sichern. </w:t>
                  </w:r>
                </w:p>
                <w:p w:rsidR="007A4AE0" w:rsidRDefault="007A4AE0">
                  <w:pPr>
                    <w:rPr>
                      <w:rStyle w:val="responsive-text1"/>
                      <w:rFonts w:ascii="Arial" w:hAnsi="Arial" w:cs="Arial"/>
                      <w:b/>
                      <w:bCs/>
                      <w:sz w:val="22"/>
                      <w:szCs w:val="22"/>
                    </w:rPr>
                  </w:pPr>
                  <w:r w:rsidRPr="007A4AE0">
                    <w:rPr>
                      <w:rStyle w:val="responsive-text1"/>
                      <w:rFonts w:ascii="Arial" w:hAnsi="Arial" w:cs="Arial"/>
                      <w:sz w:val="22"/>
                      <w:szCs w:val="22"/>
                    </w:rPr>
                    <w:t xml:space="preserve">Mit Sorge sehen wir daher die zunehmenden protektionistischen und abschottenden Entwicklungen auf internationalem Parkett, wie den </w:t>
                  </w:r>
                  <w:proofErr w:type="spellStart"/>
                  <w:r w:rsidRPr="007A4AE0">
                    <w:rPr>
                      <w:rStyle w:val="responsive-text1"/>
                      <w:rFonts w:ascii="Arial" w:hAnsi="Arial" w:cs="Arial"/>
                      <w:sz w:val="22"/>
                      <w:szCs w:val="22"/>
                    </w:rPr>
                    <w:t>Brexit</w:t>
                  </w:r>
                  <w:proofErr w:type="spellEnd"/>
                  <w:r w:rsidRPr="007A4AE0">
                    <w:rPr>
                      <w:rStyle w:val="responsive-text1"/>
                      <w:rFonts w:ascii="Arial" w:hAnsi="Arial" w:cs="Arial"/>
                      <w:sz w:val="22"/>
                      <w:szCs w:val="22"/>
                    </w:rPr>
                    <w:t xml:space="preserve">, internationale Handelskonflikte und die Erosion der Welthandelsorganisation WTO. Heute schon haben diese Entwicklungen zu einer Abkühlung der Konjunktur in Deutschland geführt. Umso wichtiger ist, konsequent die eigene Wettbewerbsfähigkeit zu verbessern. </w:t>
                  </w:r>
                  <w:r w:rsidRPr="007A4AE0">
                    <w:rPr>
                      <w:rFonts w:ascii="Arial" w:hAnsi="Arial" w:cs="Arial"/>
                      <w:sz w:val="22"/>
                      <w:szCs w:val="22"/>
                    </w:rPr>
                    <w:br/>
                  </w:r>
                  <w:r w:rsidRPr="007A4AE0">
                    <w:rPr>
                      <w:rFonts w:ascii="Arial" w:hAnsi="Arial" w:cs="Arial"/>
                      <w:sz w:val="22"/>
                      <w:szCs w:val="22"/>
                    </w:rPr>
                    <w:br/>
                  </w:r>
                  <w:r w:rsidRPr="007A4AE0">
                    <w:rPr>
                      <w:rStyle w:val="responsive-text1"/>
                      <w:rFonts w:ascii="Arial" w:hAnsi="Arial" w:cs="Arial"/>
                      <w:b/>
                      <w:bCs/>
                      <w:sz w:val="22"/>
                      <w:szCs w:val="22"/>
                    </w:rPr>
                    <w:t xml:space="preserve">Strukturwandel in der Digitalisierung </w:t>
                  </w:r>
                  <w:r w:rsidRPr="007A4AE0">
                    <w:rPr>
                      <w:rFonts w:ascii="Arial" w:hAnsi="Arial" w:cs="Arial"/>
                      <w:sz w:val="22"/>
                      <w:szCs w:val="22"/>
                    </w:rPr>
                    <w:br/>
                  </w:r>
                  <w:r w:rsidRPr="007A4AE0">
                    <w:rPr>
                      <w:rFonts w:ascii="Arial" w:hAnsi="Arial" w:cs="Arial"/>
                      <w:sz w:val="22"/>
                      <w:szCs w:val="22"/>
                    </w:rPr>
                    <w:br/>
                  </w:r>
                  <w:r w:rsidRPr="007A4AE0">
                    <w:rPr>
                      <w:rStyle w:val="responsive-text1"/>
                      <w:rFonts w:ascii="Arial" w:hAnsi="Arial" w:cs="Arial"/>
                      <w:sz w:val="22"/>
                      <w:szCs w:val="22"/>
                    </w:rPr>
                    <w:t xml:space="preserve">Neue Technologien bleiben Antriebsmotor internationaler Arbeitsteilung. Große Konzerne ebenso wie der Mittelstand und das Handwerk setzen entschieden auf Innovationen, um sich im globalen Wettbewerb zu behaupten. Die Bundesregierung muss dafür ein deutlich verbessertes Innovationsklima, technologiefreundlichere Regeln und einen fairen Wettbewerbsrahmen für die Datenökonomie schaffen. Erforderlich ist ein staatlich unterstützter besserer Transfer von Wissen aus den Universitäten und Forschungseinrichtungen in die Unternehmenspraxis. Essentiell für den Standort Deutschland ist eine belastbare digitale Infrastruktur aus Glasfaser- und 5G-Netzen. </w:t>
                  </w:r>
                  <w:r w:rsidRPr="007A4AE0">
                    <w:rPr>
                      <w:rFonts w:ascii="Arial" w:hAnsi="Arial" w:cs="Arial"/>
                      <w:sz w:val="22"/>
                      <w:szCs w:val="22"/>
                    </w:rPr>
                    <w:br/>
                  </w:r>
                  <w:r w:rsidRPr="007A4AE0">
                    <w:rPr>
                      <w:rFonts w:ascii="Arial" w:hAnsi="Arial" w:cs="Arial"/>
                      <w:sz w:val="22"/>
                      <w:szCs w:val="22"/>
                    </w:rPr>
                    <w:br/>
                  </w:r>
                  <w:r w:rsidRPr="007A4AE0">
                    <w:rPr>
                      <w:rStyle w:val="responsive-text1"/>
                      <w:rFonts w:ascii="Arial" w:hAnsi="Arial" w:cs="Arial"/>
                      <w:b/>
                      <w:bCs/>
                      <w:sz w:val="22"/>
                      <w:szCs w:val="22"/>
                    </w:rPr>
                    <w:t xml:space="preserve">Bildung </w:t>
                  </w:r>
                  <w:r w:rsidRPr="007A4AE0">
                    <w:rPr>
                      <w:rFonts w:ascii="Arial" w:hAnsi="Arial" w:cs="Arial"/>
                      <w:sz w:val="22"/>
                      <w:szCs w:val="22"/>
                    </w:rPr>
                    <w:br/>
                  </w:r>
                  <w:r w:rsidRPr="007A4AE0">
                    <w:rPr>
                      <w:rFonts w:ascii="Arial" w:hAnsi="Arial" w:cs="Arial"/>
                      <w:sz w:val="22"/>
                      <w:szCs w:val="22"/>
                    </w:rPr>
                    <w:br/>
                  </w:r>
                  <w:r w:rsidRPr="007A4AE0">
                    <w:rPr>
                      <w:rStyle w:val="responsive-text1"/>
                      <w:rFonts w:ascii="Arial" w:hAnsi="Arial" w:cs="Arial"/>
                      <w:sz w:val="22"/>
                      <w:szCs w:val="22"/>
                    </w:rPr>
                    <w:t xml:space="preserve">Längst ist international der Wettbewerb um die klügsten Köpfe und besten Fachkräfte entbrannt. Bildungspolitik ist daher Standortpolitik – gerade mit Blick auf die Digitalisierung. Allgemeinbildende Schulen müssen mit der Vermittlung digitaler Inhalte und Kompetenzen einen wichtigen Grundstein für die Ausbildungsreife legen. Dazu ist der Digitalpakt der Bundesregierung jetzt zügig in den Ländern umzusetzen – auch mit Blick auf die Modernisierung der Berufsschulen. Dies gilt ebenso für den geplanten Bildungspakt – zur Stärkung der beruflichen Bildung. </w:t>
                  </w:r>
                  <w:r w:rsidRPr="007A4AE0">
                    <w:rPr>
                      <w:rFonts w:ascii="Arial" w:hAnsi="Arial" w:cs="Arial"/>
                      <w:sz w:val="22"/>
                      <w:szCs w:val="22"/>
                    </w:rPr>
                    <w:br/>
                  </w:r>
                  <w:r w:rsidRPr="007A4AE0">
                    <w:rPr>
                      <w:rFonts w:ascii="Arial" w:hAnsi="Arial" w:cs="Arial"/>
                      <w:sz w:val="22"/>
                      <w:szCs w:val="22"/>
                    </w:rPr>
                    <w:br/>
                  </w:r>
                  <w:r w:rsidRPr="007A4AE0">
                    <w:rPr>
                      <w:rStyle w:val="responsive-text1"/>
                      <w:rFonts w:ascii="Arial" w:hAnsi="Arial" w:cs="Arial"/>
                      <w:b/>
                      <w:bCs/>
                      <w:sz w:val="22"/>
                      <w:szCs w:val="22"/>
                    </w:rPr>
                    <w:t xml:space="preserve">Arbeitszeit </w:t>
                  </w:r>
                  <w:r w:rsidRPr="007A4AE0">
                    <w:rPr>
                      <w:rFonts w:ascii="Arial" w:hAnsi="Arial" w:cs="Arial"/>
                      <w:sz w:val="22"/>
                      <w:szCs w:val="22"/>
                    </w:rPr>
                    <w:br/>
                  </w:r>
                  <w:r w:rsidRPr="007A4AE0">
                    <w:rPr>
                      <w:rFonts w:ascii="Arial" w:hAnsi="Arial" w:cs="Arial"/>
                      <w:sz w:val="22"/>
                      <w:szCs w:val="22"/>
                    </w:rPr>
                    <w:br/>
                  </w:r>
                  <w:r w:rsidRPr="007A4AE0">
                    <w:rPr>
                      <w:rStyle w:val="responsive-text1"/>
                      <w:rFonts w:ascii="Arial" w:hAnsi="Arial" w:cs="Arial"/>
                      <w:sz w:val="22"/>
                      <w:szCs w:val="22"/>
                    </w:rPr>
                    <w:t xml:space="preserve">Die Digitalisierung ändert weltweit die Abläufe in den Unternehmen und erweitert den Spielraum, Arbeitszeiten neu zu gestalten. Dies spiegelt sich jedoch nicht in den geltenden Vorschriften wider. Insofern sollten diese überprüft und dabei flexiblere Gestaltungsoptionen entsprechend der betrieblichen Notwendigkeiten einbezogen werden: Gesetzgeber und Tarifparteien sind hier gefordert. </w:t>
                  </w:r>
                  <w:r w:rsidRPr="007A4AE0">
                    <w:rPr>
                      <w:rFonts w:ascii="Arial" w:hAnsi="Arial" w:cs="Arial"/>
                      <w:sz w:val="22"/>
                      <w:szCs w:val="22"/>
                    </w:rPr>
                    <w:br/>
                  </w:r>
                  <w:r w:rsidRPr="007A4AE0">
                    <w:rPr>
                      <w:rFonts w:ascii="Arial" w:hAnsi="Arial" w:cs="Arial"/>
                      <w:sz w:val="22"/>
                      <w:szCs w:val="22"/>
                    </w:rPr>
                    <w:br/>
                  </w:r>
                </w:p>
                <w:p w:rsidR="007A4AE0" w:rsidRDefault="007A4AE0">
                  <w:pPr>
                    <w:rPr>
                      <w:rStyle w:val="responsive-text1"/>
                      <w:rFonts w:ascii="Arial" w:hAnsi="Arial" w:cs="Arial"/>
                      <w:b/>
                      <w:bCs/>
                      <w:sz w:val="22"/>
                      <w:szCs w:val="22"/>
                    </w:rPr>
                  </w:pPr>
                </w:p>
                <w:p w:rsidR="007A4AE0" w:rsidRPr="007A4AE0" w:rsidRDefault="007A4AE0">
                  <w:pPr>
                    <w:rPr>
                      <w:rFonts w:ascii="Arial" w:hAnsi="Arial" w:cs="Arial"/>
                      <w:sz w:val="22"/>
                      <w:szCs w:val="22"/>
                    </w:rPr>
                  </w:pPr>
                  <w:r w:rsidRPr="007A4AE0">
                    <w:rPr>
                      <w:rStyle w:val="responsive-text1"/>
                      <w:rFonts w:ascii="Arial" w:hAnsi="Arial" w:cs="Arial"/>
                      <w:b/>
                      <w:bCs/>
                      <w:sz w:val="22"/>
                      <w:szCs w:val="22"/>
                    </w:rPr>
                    <w:lastRenderedPageBreak/>
                    <w:t xml:space="preserve">Steuern </w:t>
                  </w:r>
                  <w:r w:rsidRPr="007A4AE0">
                    <w:rPr>
                      <w:rFonts w:ascii="Arial" w:hAnsi="Arial" w:cs="Arial"/>
                      <w:sz w:val="22"/>
                      <w:szCs w:val="22"/>
                    </w:rPr>
                    <w:br/>
                  </w:r>
                  <w:r w:rsidRPr="007A4AE0">
                    <w:rPr>
                      <w:rFonts w:ascii="Arial" w:hAnsi="Arial" w:cs="Arial"/>
                      <w:sz w:val="22"/>
                      <w:szCs w:val="22"/>
                    </w:rPr>
                    <w:br/>
                  </w:r>
                  <w:r w:rsidRPr="007A4AE0">
                    <w:rPr>
                      <w:rStyle w:val="responsive-text1"/>
                      <w:rFonts w:ascii="Arial" w:hAnsi="Arial" w:cs="Arial"/>
                      <w:sz w:val="22"/>
                      <w:szCs w:val="22"/>
                    </w:rPr>
                    <w:t xml:space="preserve">Deutschland muss auf den internationalen Standortwettbewerb reagieren und die steuerlichen Rahmenbedingungen für mehr Investitionen anpassen und damit mehr Raum für Innovationen schaffen. Dazu gehört die Senkung der Steuerbelastung für Unternehmen und Betriebe auf 25 Prozent. Kürzere Aufbewahrungsfristen und schnellere Betriebsprüfungen sollten zudem einen Beitrag zum Bürokratieabbau leisten. Die vollständige Abschaffung des Solidaritätszuschlags muss ebenfalls auf der Tagesordnung bleiben. </w:t>
                  </w:r>
                  <w:r w:rsidRPr="007A4AE0">
                    <w:rPr>
                      <w:rFonts w:ascii="Arial" w:hAnsi="Arial" w:cs="Arial"/>
                      <w:sz w:val="22"/>
                      <w:szCs w:val="22"/>
                    </w:rPr>
                    <w:br/>
                  </w:r>
                  <w:r w:rsidRPr="007A4AE0">
                    <w:rPr>
                      <w:rFonts w:ascii="Arial" w:hAnsi="Arial" w:cs="Arial"/>
                      <w:sz w:val="22"/>
                      <w:szCs w:val="22"/>
                    </w:rPr>
                    <w:br/>
                  </w:r>
                  <w:r w:rsidRPr="007A4AE0">
                    <w:rPr>
                      <w:rStyle w:val="responsive-text1"/>
                      <w:rFonts w:ascii="Arial" w:hAnsi="Arial" w:cs="Arial"/>
                      <w:b/>
                      <w:bCs/>
                      <w:sz w:val="22"/>
                      <w:szCs w:val="22"/>
                    </w:rPr>
                    <w:t xml:space="preserve">Soziale Sicherung </w:t>
                  </w:r>
                  <w:r w:rsidRPr="007A4AE0">
                    <w:rPr>
                      <w:rFonts w:ascii="Arial" w:hAnsi="Arial" w:cs="Arial"/>
                      <w:sz w:val="22"/>
                      <w:szCs w:val="22"/>
                    </w:rPr>
                    <w:br/>
                  </w:r>
                  <w:r w:rsidRPr="007A4AE0">
                    <w:rPr>
                      <w:rFonts w:ascii="Arial" w:hAnsi="Arial" w:cs="Arial"/>
                      <w:sz w:val="22"/>
                      <w:szCs w:val="22"/>
                    </w:rPr>
                    <w:br/>
                  </w:r>
                  <w:r w:rsidRPr="007A4AE0">
                    <w:rPr>
                      <w:rStyle w:val="responsive-text1"/>
                      <w:rFonts w:ascii="Arial" w:hAnsi="Arial" w:cs="Arial"/>
                      <w:sz w:val="22"/>
                      <w:szCs w:val="22"/>
                    </w:rPr>
                    <w:t xml:space="preserve">Unverzichtbar für die Wettbewerbsfähigkeit Deutschlands ist aus Sicht der Arbeitgeber die dauerhafte Begrenzung der lohnbezogenen Belastung durch Sozialversicherungsbeiträge auf unter 40 Prozent, abgesichert durch Festschreibung im Grundgesetz. Ohne Strukturreformen in den Sozialversicherungen droht sonst auf Basis des geltenden Rechts ein Anstieg der Beitragssätze auf rund 50 Prozent bis 2040. </w:t>
                  </w:r>
                  <w:r w:rsidRPr="007A4AE0">
                    <w:rPr>
                      <w:rFonts w:ascii="Arial" w:hAnsi="Arial" w:cs="Arial"/>
                      <w:sz w:val="22"/>
                      <w:szCs w:val="22"/>
                    </w:rPr>
                    <w:br/>
                  </w:r>
                  <w:r w:rsidRPr="007A4AE0">
                    <w:rPr>
                      <w:rFonts w:ascii="Arial" w:hAnsi="Arial" w:cs="Arial"/>
                      <w:sz w:val="22"/>
                      <w:szCs w:val="22"/>
                    </w:rPr>
                    <w:br/>
                  </w:r>
                  <w:r w:rsidRPr="007A4AE0">
                    <w:rPr>
                      <w:rStyle w:val="responsive-text1"/>
                      <w:rFonts w:ascii="Arial" w:hAnsi="Arial" w:cs="Arial"/>
                      <w:b/>
                      <w:bCs/>
                      <w:sz w:val="22"/>
                      <w:szCs w:val="22"/>
                    </w:rPr>
                    <w:t xml:space="preserve">Klimaschutz </w:t>
                  </w:r>
                  <w:r w:rsidRPr="007A4AE0">
                    <w:rPr>
                      <w:rFonts w:ascii="Arial" w:hAnsi="Arial" w:cs="Arial"/>
                      <w:sz w:val="22"/>
                      <w:szCs w:val="22"/>
                    </w:rPr>
                    <w:br/>
                  </w:r>
                  <w:r w:rsidRPr="007A4AE0">
                    <w:rPr>
                      <w:rFonts w:ascii="Arial" w:hAnsi="Arial" w:cs="Arial"/>
                      <w:sz w:val="22"/>
                      <w:szCs w:val="22"/>
                    </w:rPr>
                    <w:br/>
                  </w:r>
                  <w:proofErr w:type="spellStart"/>
                  <w:r w:rsidRPr="007A4AE0">
                    <w:rPr>
                      <w:rStyle w:val="responsive-text1"/>
                      <w:rFonts w:ascii="Arial" w:hAnsi="Arial" w:cs="Arial"/>
                      <w:sz w:val="22"/>
                      <w:szCs w:val="22"/>
                    </w:rPr>
                    <w:t>Klimaschutz</w:t>
                  </w:r>
                  <w:proofErr w:type="spellEnd"/>
                  <w:r w:rsidRPr="007A4AE0">
                    <w:rPr>
                      <w:rStyle w:val="responsive-text1"/>
                      <w:rFonts w:ascii="Arial" w:hAnsi="Arial" w:cs="Arial"/>
                      <w:sz w:val="22"/>
                      <w:szCs w:val="22"/>
                    </w:rPr>
                    <w:t xml:space="preserve"> ist eine globale Aufgabe, der sich jedes Land stellen muss. Mit der Kohle wird in Deutschland ein kostengünstiger Energieträger aus der Erzeugung herausfallen. Als Folge werden die Strompreise steigen. Kompensationen der zu erwartenden Preissteigerungen sind im beschlossenen Maßnahmenpaket der Kommission enthalten. Der gefundene Kompromiss dient als Gesamtpaket dem Erhalt der Wettbewerbsfähigkeit und dem Klimaschutz und sollte vollständig umgesetzt werden. </w:t>
                  </w:r>
                  <w:r w:rsidRPr="007A4AE0">
                    <w:rPr>
                      <w:rFonts w:ascii="Arial" w:hAnsi="Arial" w:cs="Arial"/>
                      <w:sz w:val="22"/>
                      <w:szCs w:val="22"/>
                    </w:rPr>
                    <w:br/>
                  </w:r>
                  <w:r w:rsidRPr="007A4AE0">
                    <w:rPr>
                      <w:rFonts w:ascii="Arial" w:hAnsi="Arial" w:cs="Arial"/>
                      <w:sz w:val="22"/>
                      <w:szCs w:val="22"/>
                    </w:rPr>
                    <w:br/>
                  </w:r>
                  <w:r w:rsidRPr="007A4AE0">
                    <w:rPr>
                      <w:rStyle w:val="responsive-text1"/>
                      <w:rFonts w:ascii="Arial" w:hAnsi="Arial" w:cs="Arial"/>
                      <w:b/>
                      <w:bCs/>
                      <w:sz w:val="22"/>
                      <w:szCs w:val="22"/>
                    </w:rPr>
                    <w:t xml:space="preserve">Wirtschaftsstandort Deutschland </w:t>
                  </w:r>
                  <w:r w:rsidRPr="007A4AE0">
                    <w:rPr>
                      <w:rFonts w:ascii="Arial" w:hAnsi="Arial" w:cs="Arial"/>
                      <w:sz w:val="22"/>
                      <w:szCs w:val="22"/>
                    </w:rPr>
                    <w:br/>
                  </w:r>
                  <w:r w:rsidRPr="007A4AE0">
                    <w:rPr>
                      <w:rFonts w:ascii="Arial" w:hAnsi="Arial" w:cs="Arial"/>
                      <w:sz w:val="22"/>
                      <w:szCs w:val="22"/>
                    </w:rPr>
                    <w:br/>
                  </w:r>
                  <w:r w:rsidRPr="007A4AE0">
                    <w:rPr>
                      <w:rStyle w:val="responsive-text1"/>
                      <w:rFonts w:ascii="Arial" w:hAnsi="Arial" w:cs="Arial"/>
                      <w:sz w:val="22"/>
                      <w:szCs w:val="22"/>
                    </w:rPr>
                    <w:t xml:space="preserve">Unser Land braucht ein wettbewerbsfähiges Steuersystem, bezahlbare Energie und eine steuerliche Forschungsförderung. Wir teilen daher die Zielsetzung der Bundesregierung, den Industriestandort Deutschland zu stärken. Im Rahmen einer Nationalen Industriestrategie sind auch die Anliegen von Mittelstand und Familienunternehmen zu berücksichtigen. </w:t>
                  </w:r>
                  <w:r w:rsidRPr="007A4AE0">
                    <w:rPr>
                      <w:rFonts w:ascii="Arial" w:hAnsi="Arial" w:cs="Arial"/>
                      <w:sz w:val="22"/>
                      <w:szCs w:val="22"/>
                    </w:rPr>
                    <w:br/>
                  </w:r>
                  <w:r w:rsidRPr="007A4AE0">
                    <w:rPr>
                      <w:rFonts w:ascii="Arial" w:hAnsi="Arial" w:cs="Arial"/>
                      <w:sz w:val="22"/>
                      <w:szCs w:val="22"/>
                    </w:rPr>
                    <w:br/>
                  </w:r>
                  <w:r w:rsidRPr="007A4AE0">
                    <w:rPr>
                      <w:rStyle w:val="responsive-text1"/>
                      <w:rFonts w:ascii="Arial" w:hAnsi="Arial" w:cs="Arial"/>
                      <w:b/>
                      <w:bCs/>
                      <w:sz w:val="22"/>
                      <w:szCs w:val="22"/>
                    </w:rPr>
                    <w:t xml:space="preserve">Fachkräfte </w:t>
                  </w:r>
                  <w:r w:rsidRPr="007A4AE0">
                    <w:rPr>
                      <w:rFonts w:ascii="Arial" w:hAnsi="Arial" w:cs="Arial"/>
                      <w:sz w:val="22"/>
                      <w:szCs w:val="22"/>
                    </w:rPr>
                    <w:br/>
                  </w:r>
                  <w:r w:rsidRPr="007A4AE0">
                    <w:rPr>
                      <w:rFonts w:ascii="Arial" w:hAnsi="Arial" w:cs="Arial"/>
                      <w:sz w:val="22"/>
                      <w:szCs w:val="22"/>
                    </w:rPr>
                    <w:br/>
                  </w:r>
                  <w:r w:rsidRPr="007A4AE0">
                    <w:rPr>
                      <w:rStyle w:val="responsive-text1"/>
                      <w:rFonts w:ascii="Arial" w:hAnsi="Arial" w:cs="Arial"/>
                      <w:sz w:val="22"/>
                      <w:szCs w:val="22"/>
                    </w:rPr>
                    <w:t xml:space="preserve">Dreh- und Angelpunkt der Leistungsfähigkeit der deutschen Wirtschaft sind die Menschen in den Unternehmen und Betrieben. Unser Land braucht da-für mehr qualifizierte Zuwanderung, auch aus Staaten außerhalb der EU. Es braucht pragmatische Zuwanderungsregeln – vor allem für beruflich Qualifizierte – sowie ein besseres Angebot an Deutschkursen. </w:t>
                  </w:r>
                  <w:r w:rsidRPr="007A4AE0">
                    <w:rPr>
                      <w:rFonts w:ascii="Arial" w:hAnsi="Arial" w:cs="Arial"/>
                      <w:sz w:val="22"/>
                      <w:szCs w:val="22"/>
                    </w:rPr>
                    <w:br/>
                  </w:r>
                  <w:r w:rsidRPr="007A4AE0">
                    <w:rPr>
                      <w:rFonts w:ascii="Arial" w:hAnsi="Arial" w:cs="Arial"/>
                      <w:sz w:val="22"/>
                      <w:szCs w:val="22"/>
                    </w:rPr>
                    <w:br/>
                  </w:r>
                  <w:r w:rsidRPr="007A4AE0">
                    <w:rPr>
                      <w:rStyle w:val="responsive-text1"/>
                      <w:rFonts w:ascii="Arial" w:hAnsi="Arial" w:cs="Arial"/>
                      <w:sz w:val="22"/>
                      <w:szCs w:val="22"/>
                    </w:rPr>
                    <w:t xml:space="preserve">Internationalität und qualifizierte Zuwanderung bereichern den Standort Deutschland und sind Ausdruck gelebter Weltoffenheit unseres Landes. </w:t>
                  </w:r>
                </w:p>
              </w:tc>
            </w:tr>
          </w:tbl>
          <w:p w:rsidR="007A4AE0" w:rsidRPr="007A4AE0" w:rsidRDefault="007A4AE0">
            <w:pPr>
              <w:rPr>
                <w:vanish/>
                <w:color w:val="8E8E90"/>
                <w:sz w:val="22"/>
                <w:szCs w:val="22"/>
              </w:rPr>
            </w:pPr>
          </w:p>
          <w:tbl>
            <w:tblPr>
              <w:tblW w:w="4250" w:type="pct"/>
              <w:jc w:val="center"/>
              <w:tblCellMar>
                <w:left w:w="0" w:type="dxa"/>
                <w:right w:w="0" w:type="dxa"/>
              </w:tblCellMar>
              <w:tblLook w:val="04A0" w:firstRow="1" w:lastRow="0" w:firstColumn="1" w:lastColumn="0" w:noHBand="0" w:noVBand="1"/>
            </w:tblPr>
            <w:tblGrid>
              <w:gridCol w:w="9155"/>
            </w:tblGrid>
            <w:tr w:rsidR="007A4AE0" w:rsidRPr="007A4AE0">
              <w:trPr>
                <w:jc w:val="center"/>
              </w:trPr>
              <w:tc>
                <w:tcPr>
                  <w:tcW w:w="0" w:type="auto"/>
                  <w:shd w:val="clear" w:color="auto" w:fill="FFFFFF"/>
                  <w:tcMar>
                    <w:top w:w="15" w:type="dxa"/>
                    <w:left w:w="15" w:type="dxa"/>
                    <w:bottom w:w="15" w:type="dxa"/>
                    <w:right w:w="15" w:type="dxa"/>
                  </w:tcMar>
                  <w:vAlign w:val="center"/>
                  <w:hideMark/>
                </w:tcPr>
                <w:p w:rsidR="007A4AE0" w:rsidRPr="007A4AE0" w:rsidRDefault="007A4AE0">
                  <w:pPr>
                    <w:rPr>
                      <w:sz w:val="22"/>
                      <w:szCs w:val="22"/>
                    </w:rPr>
                  </w:pPr>
                  <w:r w:rsidRPr="007A4AE0">
                    <w:rPr>
                      <w:sz w:val="22"/>
                      <w:szCs w:val="22"/>
                    </w:rPr>
                    <w:t xml:space="preserve">  </w:t>
                  </w:r>
                </w:p>
              </w:tc>
            </w:tr>
          </w:tbl>
          <w:p w:rsidR="007A4AE0" w:rsidRPr="007A4AE0" w:rsidRDefault="007A4AE0">
            <w:pPr>
              <w:rPr>
                <w:vanish/>
                <w:color w:val="8E8E90"/>
                <w:sz w:val="22"/>
                <w:szCs w:val="22"/>
              </w:rPr>
            </w:pPr>
          </w:p>
          <w:tbl>
            <w:tblPr>
              <w:tblW w:w="4250" w:type="pct"/>
              <w:jc w:val="center"/>
              <w:tblCellMar>
                <w:left w:w="0" w:type="dxa"/>
                <w:right w:w="0" w:type="dxa"/>
              </w:tblCellMar>
              <w:tblLook w:val="04A0" w:firstRow="1" w:lastRow="0" w:firstColumn="1" w:lastColumn="0" w:noHBand="0" w:noVBand="1"/>
            </w:tblPr>
            <w:tblGrid>
              <w:gridCol w:w="9155"/>
            </w:tblGrid>
            <w:tr w:rsidR="007A4AE0" w:rsidRPr="007A4AE0">
              <w:trPr>
                <w:jc w:val="center"/>
              </w:trPr>
              <w:tc>
                <w:tcPr>
                  <w:tcW w:w="0" w:type="auto"/>
                  <w:tcMar>
                    <w:top w:w="15" w:type="dxa"/>
                    <w:left w:w="15" w:type="dxa"/>
                    <w:bottom w:w="15" w:type="dxa"/>
                    <w:right w:w="15" w:type="dxa"/>
                  </w:tcMar>
                  <w:vAlign w:val="center"/>
                  <w:hideMark/>
                </w:tcPr>
                <w:p w:rsidR="007A4AE0" w:rsidRPr="007A4AE0" w:rsidRDefault="007A4AE0">
                  <w:pPr>
                    <w:pStyle w:val="StandardWeb"/>
                    <w:spacing w:line="360" w:lineRule="atLeast"/>
                    <w:rPr>
                      <w:rFonts w:ascii="Arial" w:hAnsi="Arial" w:cs="Arial"/>
                      <w:sz w:val="22"/>
                      <w:szCs w:val="22"/>
                    </w:rPr>
                  </w:pPr>
                  <w:r w:rsidRPr="007A4AE0">
                    <w:rPr>
                      <w:rFonts w:ascii="Arial" w:hAnsi="Arial" w:cs="Arial"/>
                      <w:b/>
                      <w:bCs/>
                      <w:sz w:val="22"/>
                      <w:szCs w:val="22"/>
                    </w:rPr>
                    <w:t>Hinweis für Abonnenten:</w:t>
                  </w:r>
                  <w:r w:rsidRPr="007A4AE0">
                    <w:rPr>
                      <w:rFonts w:ascii="Arial" w:hAnsi="Arial" w:cs="Arial"/>
                      <w:sz w:val="22"/>
                      <w:szCs w:val="22"/>
                    </w:rPr>
                    <w:br/>
                  </w:r>
                  <w:hyperlink r:id="rId9" w:tgtFrame="_blank" w:history="1">
                    <w:r w:rsidRPr="007A4AE0">
                      <w:rPr>
                        <w:rStyle w:val="Hyperlink"/>
                        <w:rFonts w:ascii="Arial" w:hAnsi="Arial" w:cs="Arial"/>
                        <w:color w:val="000000"/>
                        <w:sz w:val="22"/>
                        <w:szCs w:val="22"/>
                        <w:u w:val="none"/>
                      </w:rPr>
                      <w:t xml:space="preserve">BDA-Presseinformationen und Statements im Internet unter </w:t>
                    </w:r>
                    <w:r w:rsidRPr="007A4AE0">
                      <w:rPr>
                        <w:rStyle w:val="Hyperlink"/>
                        <w:rFonts w:ascii="Arial" w:hAnsi="Arial" w:cs="Arial"/>
                        <w:b/>
                        <w:bCs/>
                        <w:color w:val="000000"/>
                        <w:sz w:val="22"/>
                        <w:szCs w:val="22"/>
                        <w:u w:val="none"/>
                      </w:rPr>
                      <w:t>Aktuelles 2019</w:t>
                    </w:r>
                  </w:hyperlink>
                </w:p>
              </w:tc>
            </w:tr>
            <w:tr w:rsidR="007A4AE0" w:rsidRPr="007A4AE0">
              <w:trPr>
                <w:jc w:val="center"/>
              </w:trPr>
              <w:tc>
                <w:tcPr>
                  <w:tcW w:w="0" w:type="auto"/>
                  <w:tcMar>
                    <w:top w:w="15" w:type="dxa"/>
                    <w:left w:w="15" w:type="dxa"/>
                    <w:bottom w:w="15" w:type="dxa"/>
                    <w:right w:w="15" w:type="dxa"/>
                  </w:tcMar>
                  <w:vAlign w:val="center"/>
                  <w:hideMark/>
                </w:tcPr>
                <w:tbl>
                  <w:tblPr>
                    <w:tblW w:w="3500" w:type="pct"/>
                    <w:tblCellMar>
                      <w:left w:w="0" w:type="dxa"/>
                      <w:right w:w="0" w:type="dxa"/>
                    </w:tblCellMar>
                    <w:tblLook w:val="04A0" w:firstRow="1" w:lastRow="0" w:firstColumn="1" w:lastColumn="0" w:noHBand="0" w:noVBand="1"/>
                  </w:tblPr>
                  <w:tblGrid>
                    <w:gridCol w:w="6388"/>
                  </w:tblGrid>
                  <w:tr w:rsidR="007A4AE0" w:rsidRPr="007A4AE0">
                    <w:tc>
                      <w:tcPr>
                        <w:tcW w:w="0" w:type="auto"/>
                        <w:tcMar>
                          <w:top w:w="15" w:type="dxa"/>
                          <w:left w:w="15" w:type="dxa"/>
                          <w:bottom w:w="15" w:type="dxa"/>
                          <w:right w:w="15" w:type="dxa"/>
                        </w:tcMar>
                        <w:vAlign w:val="center"/>
                        <w:hideMark/>
                      </w:tcPr>
                      <w:p w:rsidR="007A4AE0" w:rsidRPr="007A4AE0" w:rsidRDefault="007A4AE0">
                        <w:pPr>
                          <w:pStyle w:val="StandardWeb"/>
                          <w:spacing w:line="360" w:lineRule="atLeast"/>
                          <w:rPr>
                            <w:rFonts w:ascii="Arial" w:hAnsi="Arial" w:cs="Arial"/>
                            <w:sz w:val="22"/>
                            <w:szCs w:val="22"/>
                          </w:rPr>
                        </w:pPr>
                        <w:r w:rsidRPr="007A4AE0">
                          <w:rPr>
                            <w:rFonts w:ascii="Arial" w:hAnsi="Arial" w:cs="Arial"/>
                            <w:sz w:val="22"/>
                            <w:szCs w:val="22"/>
                          </w:rPr>
                          <w:t>Um weitere Informationsdienste zu abonnieren oder diesen Newsletter abzubestellen, nutzen Sie bitte folgenden Link:</w:t>
                        </w:r>
                        <w:r w:rsidRPr="007A4AE0">
                          <w:rPr>
                            <w:rFonts w:ascii="Arial" w:hAnsi="Arial" w:cs="Arial"/>
                            <w:sz w:val="22"/>
                            <w:szCs w:val="22"/>
                          </w:rPr>
                          <w:br/>
                        </w:r>
                        <w:hyperlink r:id="rId10" w:tgtFrame="_blank" w:history="1">
                          <w:r w:rsidRPr="007A4AE0">
                            <w:rPr>
                              <w:rStyle w:val="Hyperlink"/>
                              <w:rFonts w:ascii="Arial" w:hAnsi="Arial" w:cs="Arial"/>
                              <w:b/>
                              <w:bCs/>
                              <w:color w:val="000000"/>
                              <w:sz w:val="22"/>
                              <w:szCs w:val="22"/>
                              <w:u w:val="none"/>
                            </w:rPr>
                            <w:t>BDA-Informationsdienste</w:t>
                          </w:r>
                        </w:hyperlink>
                      </w:p>
                    </w:tc>
                  </w:tr>
                </w:tbl>
                <w:p w:rsidR="007A4AE0" w:rsidRPr="007A4AE0" w:rsidRDefault="007A4AE0">
                  <w:pPr>
                    <w:rPr>
                      <w:rFonts w:eastAsia="Times New Roman"/>
                      <w:color w:val="auto"/>
                      <w:sz w:val="22"/>
                      <w:szCs w:val="22"/>
                    </w:rPr>
                  </w:pPr>
                </w:p>
              </w:tc>
            </w:tr>
          </w:tbl>
          <w:p w:rsidR="007A4AE0" w:rsidRPr="007A4AE0" w:rsidRDefault="007A4AE0">
            <w:pPr>
              <w:rPr>
                <w:vanish/>
                <w:color w:val="8E8E90"/>
                <w:sz w:val="22"/>
                <w:szCs w:val="22"/>
              </w:rPr>
            </w:pPr>
          </w:p>
          <w:tbl>
            <w:tblPr>
              <w:tblW w:w="4750" w:type="pct"/>
              <w:jc w:val="center"/>
              <w:tblCellMar>
                <w:left w:w="0" w:type="dxa"/>
                <w:right w:w="0" w:type="dxa"/>
              </w:tblCellMar>
              <w:tblLook w:val="04A0" w:firstRow="1" w:lastRow="0" w:firstColumn="1" w:lastColumn="0" w:noHBand="0" w:noVBand="1"/>
            </w:tblPr>
            <w:tblGrid>
              <w:gridCol w:w="10232"/>
            </w:tblGrid>
            <w:tr w:rsidR="007A4AE0" w:rsidRPr="007A4AE0">
              <w:trPr>
                <w:jc w:val="center"/>
              </w:trPr>
              <w:tc>
                <w:tcPr>
                  <w:tcW w:w="0" w:type="auto"/>
                  <w:tcMar>
                    <w:top w:w="15" w:type="dxa"/>
                    <w:left w:w="15" w:type="dxa"/>
                    <w:bottom w:w="15" w:type="dxa"/>
                    <w:right w:w="15" w:type="dxa"/>
                  </w:tcMar>
                  <w:vAlign w:val="center"/>
                  <w:hideMark/>
                </w:tcPr>
                <w:p w:rsidR="007A4AE0" w:rsidRPr="007A4AE0" w:rsidRDefault="007A4AE0">
                  <w:pPr>
                    <w:jc w:val="right"/>
                    <w:rPr>
                      <w:rFonts w:eastAsia="Times New Roman"/>
                      <w:sz w:val="22"/>
                      <w:szCs w:val="22"/>
                    </w:rPr>
                  </w:pPr>
                  <w:r w:rsidRPr="007A4AE0">
                    <w:rPr>
                      <w:rFonts w:eastAsia="Times New Roman"/>
                      <w:sz w:val="22"/>
                      <w:szCs w:val="22"/>
                    </w:rPr>
                    <w:pict>
                      <v:rect id="_x0000_i1026" style="width:453.6pt;height:1.5pt" o:hralign="right" o:hrstd="t" o:hrnoshade="t" o:hr="t" fillcolor="#8e8e90" stroked="f"/>
                    </w:pict>
                  </w:r>
                </w:p>
              </w:tc>
            </w:tr>
          </w:tbl>
          <w:p w:rsidR="007A4AE0" w:rsidRPr="007A4AE0" w:rsidRDefault="007A4AE0">
            <w:pPr>
              <w:rPr>
                <w:vanish/>
                <w:color w:val="8E8E90"/>
                <w:sz w:val="22"/>
                <w:szCs w:val="22"/>
              </w:rPr>
            </w:pPr>
          </w:p>
          <w:tbl>
            <w:tblPr>
              <w:tblW w:w="4500" w:type="pct"/>
              <w:jc w:val="center"/>
              <w:tblCellMar>
                <w:left w:w="0" w:type="dxa"/>
                <w:right w:w="0" w:type="dxa"/>
              </w:tblCellMar>
              <w:tblLook w:val="04A0" w:firstRow="1" w:lastRow="0" w:firstColumn="1" w:lastColumn="0" w:noHBand="0" w:noVBand="1"/>
            </w:tblPr>
            <w:tblGrid>
              <w:gridCol w:w="2423"/>
              <w:gridCol w:w="4847"/>
              <w:gridCol w:w="2423"/>
            </w:tblGrid>
            <w:tr w:rsidR="007A4AE0" w:rsidRPr="007A4AE0">
              <w:trPr>
                <w:jc w:val="center"/>
              </w:trPr>
              <w:tc>
                <w:tcPr>
                  <w:tcW w:w="1250" w:type="pct"/>
                  <w:shd w:val="clear" w:color="auto" w:fill="FFFFFF"/>
                  <w:tcMar>
                    <w:top w:w="15" w:type="dxa"/>
                    <w:left w:w="15" w:type="dxa"/>
                    <w:bottom w:w="15" w:type="dxa"/>
                    <w:right w:w="15" w:type="dxa"/>
                  </w:tcMar>
                  <w:vAlign w:val="center"/>
                  <w:hideMark/>
                </w:tcPr>
                <w:p w:rsidR="007A4AE0" w:rsidRPr="007A4AE0" w:rsidRDefault="007A4AE0">
                  <w:pPr>
                    <w:rPr>
                      <w:sz w:val="20"/>
                      <w:szCs w:val="20"/>
                    </w:rPr>
                  </w:pPr>
                  <w:r w:rsidRPr="007A4AE0">
                    <w:rPr>
                      <w:sz w:val="20"/>
                      <w:szCs w:val="20"/>
                    </w:rPr>
                    <w:t xml:space="preserve">  </w:t>
                  </w:r>
                </w:p>
              </w:tc>
              <w:tc>
                <w:tcPr>
                  <w:tcW w:w="2500" w:type="pct"/>
                  <w:shd w:val="clear" w:color="auto" w:fill="FFFFFF"/>
                  <w:tcMar>
                    <w:top w:w="15" w:type="dxa"/>
                    <w:left w:w="15" w:type="dxa"/>
                    <w:bottom w:w="15" w:type="dxa"/>
                    <w:right w:w="15" w:type="dxa"/>
                  </w:tcMar>
                  <w:vAlign w:val="center"/>
                  <w:hideMark/>
                </w:tcPr>
                <w:p w:rsidR="007A4AE0" w:rsidRPr="007A4AE0" w:rsidRDefault="007A4AE0">
                  <w:pPr>
                    <w:spacing w:line="300" w:lineRule="atLeast"/>
                    <w:jc w:val="center"/>
                    <w:rPr>
                      <w:rFonts w:ascii="Arial" w:hAnsi="Arial" w:cs="Arial"/>
                      <w:sz w:val="20"/>
                      <w:szCs w:val="20"/>
                    </w:rPr>
                  </w:pPr>
                  <w:hyperlink r:id="rId11" w:tgtFrame="_blank" w:history="1">
                    <w:r w:rsidRPr="007A4AE0">
                      <w:rPr>
                        <w:rStyle w:val="Hyperlink"/>
                        <w:rFonts w:ascii="Arial" w:hAnsi="Arial" w:cs="Arial"/>
                        <w:b/>
                        <w:bCs/>
                        <w:color w:val="000000"/>
                        <w:sz w:val="20"/>
                        <w:szCs w:val="20"/>
                        <w:u w:val="none"/>
                      </w:rPr>
                      <w:t>ÜBER UNS</w:t>
                    </w:r>
                  </w:hyperlink>
                  <w:r w:rsidRPr="007A4AE0">
                    <w:rPr>
                      <w:rFonts w:ascii="Arial" w:hAnsi="Arial" w:cs="Arial"/>
                      <w:sz w:val="20"/>
                      <w:szCs w:val="20"/>
                    </w:rPr>
                    <w:t xml:space="preserve"> |  </w:t>
                  </w:r>
                  <w:hyperlink r:id="rId12" w:tgtFrame="_blank" w:history="1">
                    <w:r w:rsidRPr="007A4AE0">
                      <w:rPr>
                        <w:rStyle w:val="Hyperlink"/>
                        <w:rFonts w:ascii="Arial" w:hAnsi="Arial" w:cs="Arial"/>
                        <w:b/>
                        <w:bCs/>
                        <w:color w:val="000000"/>
                        <w:sz w:val="20"/>
                        <w:szCs w:val="20"/>
                        <w:u w:val="none"/>
                      </w:rPr>
                      <w:t>PRESSE</w:t>
                    </w:r>
                  </w:hyperlink>
                  <w:r w:rsidRPr="007A4AE0">
                    <w:rPr>
                      <w:rFonts w:ascii="Arial" w:hAnsi="Arial" w:cs="Arial"/>
                      <w:sz w:val="20"/>
                      <w:szCs w:val="20"/>
                    </w:rPr>
                    <w:t xml:space="preserve"> |  </w:t>
                  </w:r>
                  <w:hyperlink r:id="rId13" w:tgtFrame="_blank" w:history="1">
                    <w:r w:rsidRPr="007A4AE0">
                      <w:rPr>
                        <w:rStyle w:val="Hyperlink"/>
                        <w:rFonts w:ascii="Arial" w:hAnsi="Arial" w:cs="Arial"/>
                        <w:b/>
                        <w:bCs/>
                        <w:color w:val="000000"/>
                        <w:sz w:val="20"/>
                        <w:szCs w:val="20"/>
                        <w:u w:val="none"/>
                      </w:rPr>
                      <w:t>IMPRESSUM</w:t>
                    </w:r>
                  </w:hyperlink>
                  <w:r w:rsidRPr="007A4AE0">
                    <w:rPr>
                      <w:rFonts w:ascii="Arial" w:hAnsi="Arial" w:cs="Arial"/>
                      <w:sz w:val="20"/>
                      <w:szCs w:val="20"/>
                    </w:rPr>
                    <w:t xml:space="preserve"> |  </w:t>
                  </w:r>
                  <w:hyperlink r:id="rId14" w:tgtFrame="_blank" w:history="1">
                    <w:r w:rsidRPr="007A4AE0">
                      <w:rPr>
                        <w:rStyle w:val="Hyperlink"/>
                        <w:rFonts w:ascii="Arial" w:hAnsi="Arial" w:cs="Arial"/>
                        <w:b/>
                        <w:bCs/>
                        <w:color w:val="000000"/>
                        <w:sz w:val="20"/>
                        <w:szCs w:val="20"/>
                        <w:u w:val="none"/>
                      </w:rPr>
                      <w:t>KONTAKT</w:t>
                    </w:r>
                  </w:hyperlink>
                  <w:r w:rsidRPr="007A4AE0">
                    <w:rPr>
                      <w:rFonts w:ascii="Arial" w:hAnsi="Arial" w:cs="Arial"/>
                      <w:sz w:val="20"/>
                      <w:szCs w:val="20"/>
                    </w:rPr>
                    <w:br/>
                  </w:r>
                  <w:r w:rsidRPr="007A4AE0">
                    <w:rPr>
                      <w:rFonts w:ascii="Arial" w:hAnsi="Arial" w:cs="Arial"/>
                      <w:color w:val="FFFFFF"/>
                      <w:sz w:val="20"/>
                      <w:szCs w:val="20"/>
                    </w:rPr>
                    <w:t> </w:t>
                  </w:r>
                  <w:r w:rsidRPr="007A4AE0">
                    <w:rPr>
                      <w:rFonts w:ascii="Arial" w:hAnsi="Arial" w:cs="Arial"/>
                      <w:sz w:val="20"/>
                      <w:szCs w:val="20"/>
                    </w:rPr>
                    <w:t xml:space="preserve"> </w:t>
                  </w:r>
                </w:p>
              </w:tc>
              <w:tc>
                <w:tcPr>
                  <w:tcW w:w="0" w:type="auto"/>
                  <w:shd w:val="clear" w:color="auto" w:fill="FFFFFF"/>
                  <w:tcMar>
                    <w:top w:w="15" w:type="dxa"/>
                    <w:left w:w="15" w:type="dxa"/>
                    <w:bottom w:w="15" w:type="dxa"/>
                    <w:right w:w="15" w:type="dxa"/>
                  </w:tcMar>
                  <w:vAlign w:val="center"/>
                  <w:hideMark/>
                </w:tcPr>
                <w:p w:rsidR="007A4AE0" w:rsidRPr="007A4AE0" w:rsidRDefault="007A4AE0">
                  <w:pPr>
                    <w:rPr>
                      <w:rFonts w:ascii="Arial" w:hAnsi="Arial" w:cs="Arial"/>
                      <w:sz w:val="20"/>
                      <w:szCs w:val="20"/>
                    </w:rPr>
                  </w:pPr>
                  <w:r w:rsidRPr="007A4AE0">
                    <w:rPr>
                      <w:rFonts w:ascii="Arial" w:hAnsi="Arial" w:cs="Arial"/>
                      <w:noProof/>
                      <w:color w:val="0000FF"/>
                      <w:sz w:val="20"/>
                      <w:szCs w:val="20"/>
                    </w:rPr>
                    <w:drawing>
                      <wp:inline distT="0" distB="0" distL="0" distR="0" wp14:anchorId="34E33632" wp14:editId="0BA2E66C">
                        <wp:extent cx="180975" cy="171450"/>
                        <wp:effectExtent l="0" t="0" r="9525" b="0"/>
                        <wp:docPr id="2" name="Bild 32" descr="Facebook-Seite des BDA">
                          <a:hlinkClick xmlns:a="http://schemas.openxmlformats.org/drawingml/2006/main" r:id="rId1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Facebook-Seite des BDA"/>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r w:rsidRPr="007A4AE0">
                    <w:rPr>
                      <w:rFonts w:ascii="Arial" w:hAnsi="Arial" w:cs="Arial"/>
                      <w:noProof/>
                      <w:color w:val="0000FF"/>
                      <w:sz w:val="20"/>
                      <w:szCs w:val="20"/>
                    </w:rPr>
                    <w:drawing>
                      <wp:inline distT="0" distB="0" distL="0" distR="0" wp14:anchorId="036E70F0" wp14:editId="3EEF6767">
                        <wp:extent cx="180975" cy="171450"/>
                        <wp:effectExtent l="0" t="0" r="9525" b="0"/>
                        <wp:docPr id="3" name="Bild 33" descr="Twitter-Seite des BDA">
                          <a:hlinkClick xmlns:a="http://schemas.openxmlformats.org/drawingml/2006/main" r:id="rId1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Twitter-Seite des BDA"/>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r w:rsidRPr="007A4AE0">
                    <w:rPr>
                      <w:rFonts w:ascii="Arial" w:hAnsi="Arial" w:cs="Arial"/>
                      <w:sz w:val="20"/>
                      <w:szCs w:val="20"/>
                    </w:rPr>
                    <w:br/>
                  </w:r>
                  <w:r w:rsidRPr="007A4AE0">
                    <w:rPr>
                      <w:rFonts w:ascii="Arial" w:hAnsi="Arial" w:cs="Arial"/>
                      <w:color w:val="FFFFFF"/>
                      <w:sz w:val="20"/>
                      <w:szCs w:val="20"/>
                    </w:rPr>
                    <w:t> </w:t>
                  </w:r>
                  <w:r w:rsidRPr="007A4AE0">
                    <w:rPr>
                      <w:rFonts w:ascii="Arial" w:hAnsi="Arial" w:cs="Arial"/>
                      <w:sz w:val="20"/>
                      <w:szCs w:val="20"/>
                    </w:rPr>
                    <w:t xml:space="preserve"> </w:t>
                  </w:r>
                </w:p>
              </w:tc>
            </w:tr>
          </w:tbl>
          <w:p w:rsidR="007A4AE0" w:rsidRPr="007A4AE0" w:rsidRDefault="007A4AE0">
            <w:pPr>
              <w:rPr>
                <w:vanish/>
                <w:color w:val="8E8E90"/>
                <w:sz w:val="20"/>
                <w:szCs w:val="20"/>
              </w:rPr>
            </w:pPr>
          </w:p>
          <w:tbl>
            <w:tblPr>
              <w:tblW w:w="4250" w:type="pct"/>
              <w:jc w:val="center"/>
              <w:tblCellMar>
                <w:left w:w="0" w:type="dxa"/>
                <w:right w:w="0" w:type="dxa"/>
              </w:tblCellMar>
              <w:tblLook w:val="04A0" w:firstRow="1" w:lastRow="0" w:firstColumn="1" w:lastColumn="0" w:noHBand="0" w:noVBand="1"/>
            </w:tblPr>
            <w:tblGrid>
              <w:gridCol w:w="9155"/>
            </w:tblGrid>
            <w:tr w:rsidR="007A4AE0" w:rsidRPr="007A4AE0">
              <w:trPr>
                <w:jc w:val="center"/>
              </w:trPr>
              <w:tc>
                <w:tcPr>
                  <w:tcW w:w="0" w:type="auto"/>
                  <w:shd w:val="clear" w:color="auto" w:fill="FFFFFF"/>
                  <w:tcMar>
                    <w:top w:w="15" w:type="dxa"/>
                    <w:left w:w="15" w:type="dxa"/>
                    <w:bottom w:w="15" w:type="dxa"/>
                    <w:right w:w="15" w:type="dxa"/>
                  </w:tcMar>
                  <w:vAlign w:val="center"/>
                  <w:hideMark/>
                </w:tcPr>
                <w:p w:rsidR="007A4AE0" w:rsidRPr="007A4AE0" w:rsidRDefault="007A4AE0" w:rsidP="007A4AE0">
                  <w:pPr>
                    <w:pStyle w:val="StandardWeb"/>
                    <w:jc w:val="center"/>
                    <w:rPr>
                      <w:rFonts w:ascii="Arial" w:hAnsi="Arial" w:cs="Arial"/>
                      <w:b/>
                      <w:bCs/>
                      <w:color w:val="8E8E90"/>
                      <w:sz w:val="20"/>
                      <w:szCs w:val="20"/>
                    </w:rPr>
                  </w:pPr>
                  <w:r w:rsidRPr="007A4AE0">
                    <w:rPr>
                      <w:rFonts w:ascii="Arial" w:hAnsi="Arial" w:cs="Arial"/>
                      <w:b/>
                      <w:bCs/>
                      <w:color w:val="8E8E90"/>
                      <w:sz w:val="20"/>
                      <w:szCs w:val="20"/>
                    </w:rPr>
                    <w:t xml:space="preserve">BDA | Bundesvereinigung der Deutschen Arbeitgeberverbände | Breite Straße 29 | 10178 Berlin | </w:t>
                  </w:r>
                  <w:hyperlink r:id="rId21" w:history="1">
                    <w:r w:rsidRPr="007A4AE0">
                      <w:rPr>
                        <w:rStyle w:val="Hyperlink"/>
                        <w:rFonts w:ascii="Arial" w:hAnsi="Arial" w:cs="Arial"/>
                        <w:b/>
                        <w:bCs/>
                        <w:color w:val="8E8E90"/>
                        <w:sz w:val="20"/>
                        <w:szCs w:val="20"/>
                        <w:u w:val="none"/>
                      </w:rPr>
                      <w:t>www.arbeitgeber.de</w:t>
                    </w:r>
                  </w:hyperlink>
                  <w:bookmarkStart w:id="0" w:name="_GoBack"/>
                  <w:bookmarkEnd w:id="0"/>
                </w:p>
              </w:tc>
            </w:tr>
          </w:tbl>
          <w:p w:rsidR="007A4AE0" w:rsidRPr="007A4AE0" w:rsidRDefault="007A4AE0">
            <w:pPr>
              <w:jc w:val="center"/>
              <w:rPr>
                <w:color w:val="auto"/>
                <w:sz w:val="22"/>
                <w:szCs w:val="22"/>
              </w:rPr>
            </w:pPr>
          </w:p>
        </w:tc>
      </w:tr>
    </w:tbl>
    <w:p w:rsidR="007A4AE0" w:rsidRPr="007A4AE0" w:rsidRDefault="007A4AE0" w:rsidP="007A4AE0">
      <w:pPr>
        <w:rPr>
          <w:color w:val="auto"/>
          <w:sz w:val="22"/>
          <w:szCs w:val="22"/>
        </w:rPr>
      </w:pPr>
    </w:p>
    <w:p w:rsidR="004628F8" w:rsidRPr="007A4AE0" w:rsidRDefault="004628F8" w:rsidP="007A4AE0">
      <w:pPr>
        <w:rPr>
          <w:rFonts w:ascii="Arial" w:hAnsi="Arial" w:cs="Arial"/>
          <w:sz w:val="22"/>
          <w:szCs w:val="22"/>
        </w:rPr>
      </w:pPr>
    </w:p>
    <w:p w:rsidR="007A4AE0" w:rsidRPr="007A4AE0" w:rsidRDefault="007A4AE0">
      <w:pPr>
        <w:rPr>
          <w:rFonts w:ascii="Arial" w:hAnsi="Arial" w:cs="Arial"/>
          <w:sz w:val="22"/>
          <w:szCs w:val="22"/>
        </w:rPr>
      </w:pPr>
    </w:p>
    <w:sectPr w:rsidR="007A4AE0" w:rsidRPr="007A4AE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AE0"/>
    <w:rsid w:val="004628F8"/>
    <w:rsid w:val="007A4A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A4AE0"/>
    <w:pPr>
      <w:spacing w:after="0" w:line="240" w:lineRule="auto"/>
    </w:pPr>
    <w:rPr>
      <w:rFonts w:ascii="Times New Roman" w:eastAsia="Calibri" w:hAnsi="Times New Roman" w:cs="Times New Roman"/>
      <w:color w:val="000000"/>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7A4AE0"/>
    <w:rPr>
      <w:color w:val="0000FF"/>
      <w:u w:val="single"/>
    </w:rPr>
  </w:style>
  <w:style w:type="paragraph" w:styleId="StandardWeb">
    <w:name w:val="Normal (Web)"/>
    <w:basedOn w:val="Standard"/>
    <w:uiPriority w:val="99"/>
    <w:unhideWhenUsed/>
    <w:rsid w:val="007A4AE0"/>
    <w:pPr>
      <w:spacing w:before="100" w:beforeAutospacing="1" w:after="100" w:afterAutospacing="1"/>
    </w:pPr>
  </w:style>
  <w:style w:type="paragraph" w:customStyle="1" w:styleId="responsive-text">
    <w:name w:val="responsive-text"/>
    <w:basedOn w:val="Standard"/>
    <w:uiPriority w:val="99"/>
    <w:rsid w:val="007A4AE0"/>
    <w:pPr>
      <w:spacing w:before="100" w:beforeAutospacing="1" w:after="100" w:afterAutospacing="1"/>
    </w:pPr>
  </w:style>
  <w:style w:type="paragraph" w:customStyle="1" w:styleId="rescue">
    <w:name w:val="rescue"/>
    <w:basedOn w:val="Standard"/>
    <w:uiPriority w:val="99"/>
    <w:rsid w:val="007A4AE0"/>
    <w:pPr>
      <w:spacing w:before="100" w:beforeAutospacing="1" w:after="100" w:afterAutospacing="1"/>
    </w:pPr>
  </w:style>
  <w:style w:type="character" w:customStyle="1" w:styleId="responsive-headline1">
    <w:name w:val="responsive-headline1"/>
    <w:basedOn w:val="Absatz-Standardschriftart"/>
    <w:rsid w:val="007A4AE0"/>
  </w:style>
  <w:style w:type="character" w:customStyle="1" w:styleId="responsive-text1">
    <w:name w:val="responsive-text1"/>
    <w:basedOn w:val="Absatz-Standardschriftart"/>
    <w:rsid w:val="007A4AE0"/>
  </w:style>
  <w:style w:type="paragraph" w:styleId="Sprechblasentext">
    <w:name w:val="Balloon Text"/>
    <w:basedOn w:val="Standard"/>
    <w:link w:val="SprechblasentextZchn"/>
    <w:uiPriority w:val="99"/>
    <w:semiHidden/>
    <w:unhideWhenUsed/>
    <w:rsid w:val="007A4AE0"/>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A4AE0"/>
    <w:rPr>
      <w:rFonts w:ascii="Tahoma" w:eastAsia="Calibri" w:hAnsi="Tahoma" w:cs="Tahoma"/>
      <w:color w:val="000000"/>
      <w:sz w:val="16"/>
      <w:szCs w:val="16"/>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A4AE0"/>
    <w:pPr>
      <w:spacing w:after="0" w:line="240" w:lineRule="auto"/>
    </w:pPr>
    <w:rPr>
      <w:rFonts w:ascii="Times New Roman" w:eastAsia="Calibri" w:hAnsi="Times New Roman" w:cs="Times New Roman"/>
      <w:color w:val="000000"/>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7A4AE0"/>
    <w:rPr>
      <w:color w:val="0000FF"/>
      <w:u w:val="single"/>
    </w:rPr>
  </w:style>
  <w:style w:type="paragraph" w:styleId="StandardWeb">
    <w:name w:val="Normal (Web)"/>
    <w:basedOn w:val="Standard"/>
    <w:uiPriority w:val="99"/>
    <w:unhideWhenUsed/>
    <w:rsid w:val="007A4AE0"/>
    <w:pPr>
      <w:spacing w:before="100" w:beforeAutospacing="1" w:after="100" w:afterAutospacing="1"/>
    </w:pPr>
  </w:style>
  <w:style w:type="paragraph" w:customStyle="1" w:styleId="responsive-text">
    <w:name w:val="responsive-text"/>
    <w:basedOn w:val="Standard"/>
    <w:uiPriority w:val="99"/>
    <w:rsid w:val="007A4AE0"/>
    <w:pPr>
      <w:spacing w:before="100" w:beforeAutospacing="1" w:after="100" w:afterAutospacing="1"/>
    </w:pPr>
  </w:style>
  <w:style w:type="paragraph" w:customStyle="1" w:styleId="rescue">
    <w:name w:val="rescue"/>
    <w:basedOn w:val="Standard"/>
    <w:uiPriority w:val="99"/>
    <w:rsid w:val="007A4AE0"/>
    <w:pPr>
      <w:spacing w:before="100" w:beforeAutospacing="1" w:after="100" w:afterAutospacing="1"/>
    </w:pPr>
  </w:style>
  <w:style w:type="character" w:customStyle="1" w:styleId="responsive-headline1">
    <w:name w:val="responsive-headline1"/>
    <w:basedOn w:val="Absatz-Standardschriftart"/>
    <w:rsid w:val="007A4AE0"/>
  </w:style>
  <w:style w:type="character" w:customStyle="1" w:styleId="responsive-text1">
    <w:name w:val="responsive-text1"/>
    <w:basedOn w:val="Absatz-Standardschriftart"/>
    <w:rsid w:val="007A4AE0"/>
  </w:style>
  <w:style w:type="paragraph" w:styleId="Sprechblasentext">
    <w:name w:val="Balloon Text"/>
    <w:basedOn w:val="Standard"/>
    <w:link w:val="SprechblasentextZchn"/>
    <w:uiPriority w:val="99"/>
    <w:semiHidden/>
    <w:unhideWhenUsed/>
    <w:rsid w:val="007A4AE0"/>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A4AE0"/>
    <w:rPr>
      <w:rFonts w:ascii="Tahoma" w:eastAsia="Calibri" w:hAnsi="Tahoma" w:cs="Tahoma"/>
      <w:color w:val="000000"/>
      <w:sz w:val="16"/>
      <w:szCs w:val="1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5729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rbeitgeber.de/www/arbeitgeber.nsf/id/de_offene-maerkte--weltoffenes-land" TargetMode="External"/><Relationship Id="rId13" Type="http://schemas.openxmlformats.org/officeDocument/2006/relationships/hyperlink" Target="http://www.arbeitgeber.de/www/arbeitgeber.nsf/id/de_impressum" TargetMode="External"/><Relationship Id="rId18" Type="http://schemas.openxmlformats.org/officeDocument/2006/relationships/hyperlink" Target="https://twitter.com/DieBDA" TargetMode="External"/><Relationship Id="rId3" Type="http://schemas.openxmlformats.org/officeDocument/2006/relationships/settings" Target="settings.xml"/><Relationship Id="rId21" Type="http://schemas.openxmlformats.org/officeDocument/2006/relationships/hyperlink" Target="http://www.arbeitgeber.de" TargetMode="External"/><Relationship Id="rId7" Type="http://schemas.openxmlformats.org/officeDocument/2006/relationships/image" Target="cid:ATT1552646382731" TargetMode="External"/><Relationship Id="rId12" Type="http://schemas.openxmlformats.org/officeDocument/2006/relationships/hyperlink" Target="http://www.arbeitgeber.de/www/arbeitgeber.nsf/id/30E8CE2D4491E097C1256DE70069F349" TargetMode="External"/><Relationship Id="rId17" Type="http://schemas.openxmlformats.org/officeDocument/2006/relationships/image" Target="cid:ATT1552646382732" TargetMode="External"/><Relationship Id="rId2" Type="http://schemas.microsoft.com/office/2007/relationships/stylesWithEffects" Target="stylesWithEffects.xml"/><Relationship Id="rId16" Type="http://schemas.openxmlformats.org/officeDocument/2006/relationships/image" Target="media/image2.png"/><Relationship Id="rId20" Type="http://schemas.openxmlformats.org/officeDocument/2006/relationships/image" Target="cid:ATT1552646382733"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arbeitgeber.de/www/arbeitgeber.nsf/id/7B7AA8A7EF7D2988C1256DE70069F2DB" TargetMode="External"/><Relationship Id="rId5" Type="http://schemas.openxmlformats.org/officeDocument/2006/relationships/hyperlink" Target="https://www.arbeitgeber.de/" TargetMode="External"/><Relationship Id="rId15" Type="http://schemas.openxmlformats.org/officeDocument/2006/relationships/hyperlink" Target="https://www.facebook.com/dieBDA" TargetMode="External"/><Relationship Id="rId23" Type="http://schemas.openxmlformats.org/officeDocument/2006/relationships/theme" Target="theme/theme1.xml"/><Relationship Id="rId10" Type="http://schemas.openxmlformats.org/officeDocument/2006/relationships/hyperlink" Target="http://www.arbeitgeber.de/www/arbeitgeber.nsf/id/BDANewsletter" TargetMode="Externa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www.arbeitgeber.de/www/arbeitgeber.nsf/id/de_aktuelles-2019" TargetMode="External"/><Relationship Id="rId14" Type="http://schemas.openxmlformats.org/officeDocument/2006/relationships/hyperlink" Target="http://www.arbeitgeber.de/www/arbeitgeber.nsf/id/DE_Kontakt" TargetMode="External"/><Relationship Id="rId22"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845</Words>
  <Characters>5326</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Maike Well</dc:creator>
  <cp:lastModifiedBy>Maike Well</cp:lastModifiedBy>
  <cp:revision>1</cp:revision>
  <dcterms:created xsi:type="dcterms:W3CDTF">2019-03-18T06:54:00Z</dcterms:created>
  <dcterms:modified xsi:type="dcterms:W3CDTF">2019-03-18T07:04:00Z</dcterms:modified>
</cp:coreProperties>
</file>